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8FB" w:rsidRPr="009A08FB" w:rsidRDefault="009A08FB" w:rsidP="009A08FB">
      <w:pPr>
        <w:widowControl w:val="0"/>
        <w:autoSpaceDE w:val="0"/>
        <w:autoSpaceDN w:val="0"/>
        <w:spacing w:after="0" w:line="240" w:lineRule="auto"/>
        <w:jc w:val="right"/>
        <w:rPr>
          <w:rFonts w:ascii="Times New Roman" w:eastAsia="Times New Roman" w:hAnsi="Times New Roman" w:cs="Times New Roman"/>
          <w:sz w:val="28"/>
          <w:szCs w:val="28"/>
          <w:lang w:eastAsia="ru-RU"/>
        </w:rPr>
      </w:pPr>
      <w:bookmarkStart w:id="0" w:name="_GoBack"/>
      <w:bookmarkEnd w:id="0"/>
      <w:r w:rsidRPr="009A08FB">
        <w:rPr>
          <w:rFonts w:ascii="Times New Roman" w:eastAsia="Times New Roman" w:hAnsi="Times New Roman" w:cs="Times New Roman"/>
          <w:sz w:val="28"/>
          <w:szCs w:val="28"/>
          <w:lang w:eastAsia="ru-RU"/>
        </w:rPr>
        <w:t>Приложение № 4</w:t>
      </w:r>
    </w:p>
    <w:p w:rsidR="009A08FB" w:rsidRPr="009A08FB" w:rsidRDefault="009A08FB" w:rsidP="009A08F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к подпрограмме 1</w:t>
      </w:r>
    </w:p>
    <w:p w:rsidR="009A08FB" w:rsidRPr="009A08FB" w:rsidRDefault="009A08FB" w:rsidP="009A08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A08FB" w:rsidRPr="009A08FB" w:rsidRDefault="009A08FB" w:rsidP="009A08F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9A08FB">
        <w:rPr>
          <w:rFonts w:ascii="Times New Roman" w:eastAsia="Times New Roman" w:hAnsi="Times New Roman" w:cs="Times New Roman"/>
          <w:b/>
          <w:sz w:val="28"/>
          <w:szCs w:val="28"/>
          <w:lang w:eastAsia="ru-RU"/>
        </w:rPr>
        <w:t>ПРАВИЛА</w:t>
      </w:r>
    </w:p>
    <w:p w:rsidR="009A08FB" w:rsidRPr="009A08FB" w:rsidRDefault="009A08FB" w:rsidP="009A08F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9A08FB">
        <w:rPr>
          <w:rFonts w:ascii="Times New Roman" w:eastAsia="Times New Roman" w:hAnsi="Times New Roman" w:cs="Times New Roman"/>
          <w:b/>
          <w:sz w:val="28"/>
          <w:szCs w:val="28"/>
          <w:lang w:eastAsia="ru-RU"/>
        </w:rPr>
        <w:t>ПРЕДОСТАВЛЕНИЯ СУБСИДИИ ИЗ ОБЛАСТНОГО БЮДЖЕТА ЮРИДИЧЕСКИМ ЛИЦАМ НА ФИНАНСОВОЕ ОБЕСПЕЧЕНИЕ МЕРОПРИЯТИЙ ПО НАПОЛНЕНИЮ И</w:t>
      </w:r>
    </w:p>
    <w:p w:rsidR="009A08FB" w:rsidRPr="009A08FB" w:rsidRDefault="009A08FB" w:rsidP="009A08F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9A08FB">
        <w:rPr>
          <w:rFonts w:ascii="Times New Roman" w:eastAsia="Times New Roman" w:hAnsi="Times New Roman" w:cs="Times New Roman"/>
          <w:b/>
          <w:sz w:val="28"/>
          <w:szCs w:val="28"/>
          <w:lang w:eastAsia="ru-RU"/>
        </w:rPr>
        <w:t>РАСШИРЕНИЮ ФУНКЦИОНАЛЬНОСТИ СИСТЕМЫ АВТОМАТИЗАЦИИ ПРОЦЕССОВ</w:t>
      </w:r>
    </w:p>
    <w:p w:rsidR="009A08FB" w:rsidRPr="009A08FB" w:rsidRDefault="009A08FB" w:rsidP="009A08F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9A08FB">
        <w:rPr>
          <w:rFonts w:ascii="Times New Roman" w:eastAsia="Times New Roman" w:hAnsi="Times New Roman" w:cs="Times New Roman"/>
          <w:b/>
          <w:sz w:val="28"/>
          <w:szCs w:val="28"/>
          <w:lang w:eastAsia="ru-RU"/>
        </w:rPr>
        <w:t>УПРАВЛЕНИЯ И УЧЕТА ЭНЕРГОПОТРЕБЛЕНИЯ, ЭНЕРГОСБЕРЕЖЕНИЯ И ЭНЕРГОЭФФЕКТИВНОСТИ</w:t>
      </w:r>
    </w:p>
    <w:p w:rsidR="009A08FB" w:rsidRPr="009A08FB" w:rsidRDefault="009A08FB" w:rsidP="009A08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xml:space="preserve">1. Настоящие Правила устанавливают порядок и условия предоставления субсидии из областного бюджета юридическим лицам (за исключением государственных и муниципальных учреждений) на финансовое обеспечение мероприятий по наполнению и расширению </w:t>
      </w:r>
      <w:proofErr w:type="gramStart"/>
      <w:r w:rsidRPr="009A08FB">
        <w:rPr>
          <w:rFonts w:ascii="Times New Roman" w:eastAsia="Times New Roman" w:hAnsi="Times New Roman" w:cs="Times New Roman"/>
          <w:sz w:val="28"/>
          <w:szCs w:val="28"/>
          <w:lang w:eastAsia="ru-RU"/>
        </w:rPr>
        <w:t>функциональности системы автоматизации процессов управления</w:t>
      </w:r>
      <w:proofErr w:type="gramEnd"/>
      <w:r w:rsidRPr="009A08FB">
        <w:rPr>
          <w:rFonts w:ascii="Times New Roman" w:eastAsia="Times New Roman" w:hAnsi="Times New Roman" w:cs="Times New Roman"/>
          <w:sz w:val="28"/>
          <w:szCs w:val="28"/>
          <w:lang w:eastAsia="ru-RU"/>
        </w:rPr>
        <w:t xml:space="preserve"> и учета энергопотребления, энергосбережения и энергоэффективности, в том числе на установку коллективных приборов учета (далее - субсидия).</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xml:space="preserve">2. </w:t>
      </w:r>
      <w:proofErr w:type="gramStart"/>
      <w:r w:rsidRPr="009A08FB">
        <w:rPr>
          <w:rFonts w:ascii="Times New Roman" w:eastAsia="Times New Roman" w:hAnsi="Times New Roman" w:cs="Times New Roman"/>
          <w:sz w:val="28"/>
          <w:szCs w:val="28"/>
          <w:lang w:eastAsia="ru-RU"/>
        </w:rPr>
        <w:t>Право на получение субсидии имеют организации с участием государства (юридические лица, в уставных капиталах которых доля (вклад) Мурманской области составляет более чем пятьдесят процентов и (или) в отношении которых Мурманская область имеет право прямо или косвенно распоряжаться более чем пятьюдесятью процентами общего количества голосов, приходящихся на голосующие акции (доли), составляющие уставные капиталы таких юридических лиц, государственные унитарные предприятия), осуществляющие регулируемые</w:t>
      </w:r>
      <w:proofErr w:type="gramEnd"/>
      <w:r w:rsidRPr="009A08FB">
        <w:rPr>
          <w:rFonts w:ascii="Times New Roman" w:eastAsia="Times New Roman" w:hAnsi="Times New Roman" w:cs="Times New Roman"/>
          <w:sz w:val="28"/>
          <w:szCs w:val="28"/>
          <w:lang w:eastAsia="ru-RU"/>
        </w:rPr>
        <w:t xml:space="preserve"> виды деятельности, для которых цены (тарифы) регулируются Управлением по тарифному регулированию Мурманской области, а также осуществляющие формирование автоматизированной системы сбора данных с общедомовых приборов учета на территории Мурманской области (далее - организации), при соблюдении следующих условий:</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организация осуществляет производство или передачу коммунальных ресурсов на территории Мурманской области;</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организация осуществляет установку общедомовых приборов учета (далее - ОДПУ) на территории Мурманской области;</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организация осуществляет учет используемых коммунальных ресурсов на объектах, подключенных к электрическим сетям централизованного электроснабжения, и (или) системам централизованного теплоснабжения, и (или) системам централизованного водоснабжения, и (или) системам централизованного газоснабжения, и (или) иным системам централизованного снабжения энергетическими ресурсами на территории Мурманской области;</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в отношении организации не проводится процедура ликвидации юридического лица и отсутствует решение арбитражного суда о признании юридического лица несостоятельным (банкротом);</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организацией предоставлена заявка на получение субсидии.</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xml:space="preserve">3. Отбор организаций для предоставления субсидий осуществляется </w:t>
      </w:r>
      <w:r w:rsidRPr="009A08FB">
        <w:rPr>
          <w:rFonts w:ascii="Times New Roman" w:eastAsia="Times New Roman" w:hAnsi="Times New Roman" w:cs="Times New Roman"/>
          <w:sz w:val="28"/>
          <w:szCs w:val="28"/>
          <w:lang w:eastAsia="ru-RU"/>
        </w:rPr>
        <w:lastRenderedPageBreak/>
        <w:t>Министерством энергетики и жилищно-коммунального хозяйства Мурманской области (далее - Министерство) на конкурсной основе. Сроки проведения отбора, состав и положение о конкурсной комиссии, формы заявок и отчетности, результаты отбора утверждаются приказами Министерства.</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4. Критериями отбора организаций для предоставления субсидии являются:</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количество абонентов;</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количество абонентов, полностью оснащенных ОДПУ;</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проведение текущих работ по установке ОДПУ;</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xml:space="preserve">- объем внешнего финансирования реализации мероприятий по энергосбережению и повышению энергетической эффективности, в том числе с использованием </w:t>
      </w:r>
      <w:proofErr w:type="spellStart"/>
      <w:r w:rsidRPr="009A08FB">
        <w:rPr>
          <w:rFonts w:ascii="Times New Roman" w:eastAsia="Times New Roman" w:hAnsi="Times New Roman" w:cs="Times New Roman"/>
          <w:sz w:val="28"/>
          <w:szCs w:val="28"/>
          <w:lang w:eastAsia="ru-RU"/>
        </w:rPr>
        <w:t>энергосервисного</w:t>
      </w:r>
      <w:proofErr w:type="spellEnd"/>
      <w:r w:rsidRPr="009A08FB">
        <w:rPr>
          <w:rFonts w:ascii="Times New Roman" w:eastAsia="Times New Roman" w:hAnsi="Times New Roman" w:cs="Times New Roman"/>
          <w:sz w:val="28"/>
          <w:szCs w:val="28"/>
          <w:lang w:eastAsia="ru-RU"/>
        </w:rPr>
        <w:t xml:space="preserve"> контракта, за текущий финансовый год;</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9A08FB">
        <w:rPr>
          <w:rFonts w:ascii="Times New Roman" w:eastAsia="Times New Roman" w:hAnsi="Times New Roman" w:cs="Times New Roman"/>
          <w:sz w:val="28"/>
          <w:szCs w:val="28"/>
          <w:lang w:eastAsia="ru-RU"/>
        </w:rPr>
        <w:t xml:space="preserve">- совокупная оценка эффективности деятельности организации в соответствии с </w:t>
      </w:r>
      <w:hyperlink r:id="rId7" w:history="1">
        <w:r w:rsidRPr="009A08FB">
          <w:rPr>
            <w:rFonts w:ascii="Times New Roman" w:eastAsia="Times New Roman" w:hAnsi="Times New Roman" w:cs="Times New Roman"/>
            <w:sz w:val="28"/>
            <w:szCs w:val="28"/>
            <w:lang w:eastAsia="ru-RU"/>
          </w:rPr>
          <w:t>постановлением</w:t>
        </w:r>
      </w:hyperlink>
      <w:r w:rsidRPr="009A08FB">
        <w:rPr>
          <w:rFonts w:ascii="Times New Roman" w:eastAsia="Times New Roman" w:hAnsi="Times New Roman" w:cs="Times New Roman"/>
          <w:sz w:val="28"/>
          <w:szCs w:val="28"/>
          <w:lang w:eastAsia="ru-RU"/>
        </w:rPr>
        <w:t xml:space="preserve"> Правительства Мурманской области от 30.06.2008 N 307-ПП "Об утверждении положения о системе критериев для сохранения (создания и функционирования) государственных областных унитарных предприятий и пакетов акций (долей) хозяйственных обществ, находящихся в государственной собственности Мурманской области, на основе оценки бюджетной и социальной эффективности" (далее - Постановление N 307-ПП);</w:t>
      </w:r>
      <w:proofErr w:type="gramEnd"/>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xml:space="preserve">- объем софинансирования за счет средств организации по отношению к заявленной потребности на реализацию проекта по расширению </w:t>
      </w:r>
      <w:proofErr w:type="gramStart"/>
      <w:r w:rsidRPr="009A08FB">
        <w:rPr>
          <w:rFonts w:ascii="Times New Roman" w:eastAsia="Times New Roman" w:hAnsi="Times New Roman" w:cs="Times New Roman"/>
          <w:sz w:val="28"/>
          <w:szCs w:val="28"/>
          <w:lang w:eastAsia="ru-RU"/>
        </w:rPr>
        <w:t>функциональности системы автоматизации процессов управления</w:t>
      </w:r>
      <w:proofErr w:type="gramEnd"/>
      <w:r w:rsidRPr="009A08FB">
        <w:rPr>
          <w:rFonts w:ascii="Times New Roman" w:eastAsia="Times New Roman" w:hAnsi="Times New Roman" w:cs="Times New Roman"/>
          <w:sz w:val="28"/>
          <w:szCs w:val="28"/>
          <w:lang w:eastAsia="ru-RU"/>
        </w:rPr>
        <w:t xml:space="preserve"> и учета энергопотребления, энергосбережения и энергоэффективности;</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xml:space="preserve">- процент оснащенности ОДПУ (электрическая энергия, тепловая энергия, горячая вода, холодная вода), </w:t>
      </w:r>
      <w:proofErr w:type="gramStart"/>
      <w:r w:rsidRPr="009A08FB">
        <w:rPr>
          <w:rFonts w:ascii="Times New Roman" w:eastAsia="Times New Roman" w:hAnsi="Times New Roman" w:cs="Times New Roman"/>
          <w:sz w:val="28"/>
          <w:szCs w:val="28"/>
          <w:lang w:eastAsia="ru-RU"/>
        </w:rPr>
        <w:t>введенными</w:t>
      </w:r>
      <w:proofErr w:type="gramEnd"/>
      <w:r w:rsidRPr="009A08FB">
        <w:rPr>
          <w:rFonts w:ascii="Times New Roman" w:eastAsia="Times New Roman" w:hAnsi="Times New Roman" w:cs="Times New Roman"/>
          <w:sz w:val="28"/>
          <w:szCs w:val="28"/>
          <w:lang w:eastAsia="ru-RU"/>
        </w:rPr>
        <w:t xml:space="preserve"> в эксплуатацию;</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проведение работ по формированию системы учета энергопотребления, энергосбережения и энергоэффективности;</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наличие программы энергосбережения;</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наличие энергетического паспорта.</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Расчет баллов по критериям осуществляется по следующему принципу:</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количество абонентов (К</w:t>
      </w:r>
      <w:proofErr w:type="gramStart"/>
      <w:r w:rsidRPr="009A08FB">
        <w:rPr>
          <w:rFonts w:ascii="Times New Roman" w:eastAsia="Times New Roman" w:hAnsi="Times New Roman" w:cs="Times New Roman"/>
          <w:sz w:val="28"/>
          <w:szCs w:val="28"/>
          <w:lang w:eastAsia="ru-RU"/>
        </w:rPr>
        <w:t>1</w:t>
      </w:r>
      <w:proofErr w:type="gramEnd"/>
      <w:r w:rsidRPr="009A08FB">
        <w:rPr>
          <w:rFonts w:ascii="Times New Roman" w:eastAsia="Times New Roman" w:hAnsi="Times New Roman" w:cs="Times New Roman"/>
          <w:sz w:val="28"/>
          <w:szCs w:val="28"/>
          <w:lang w:eastAsia="ru-RU"/>
        </w:rPr>
        <w:t>) - из общего количества допущенных к отбору организаций наивысший балл получает организация с наибольшим количеством абонентов (К1), наименьший балл получает организация с наименьшим количеством абонентов. Наибольший балл равен количеству организаций, допущенных к отбору, наименьший балл - единица;</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количество абонентов, полностью оснащенных ОДПУ (К</w:t>
      </w:r>
      <w:proofErr w:type="gramStart"/>
      <w:r w:rsidRPr="009A08FB">
        <w:rPr>
          <w:rFonts w:ascii="Times New Roman" w:eastAsia="Times New Roman" w:hAnsi="Times New Roman" w:cs="Times New Roman"/>
          <w:sz w:val="28"/>
          <w:szCs w:val="28"/>
          <w:lang w:eastAsia="ru-RU"/>
        </w:rPr>
        <w:t>2</w:t>
      </w:r>
      <w:proofErr w:type="gramEnd"/>
      <w:r w:rsidRPr="009A08FB">
        <w:rPr>
          <w:rFonts w:ascii="Times New Roman" w:eastAsia="Times New Roman" w:hAnsi="Times New Roman" w:cs="Times New Roman"/>
          <w:sz w:val="28"/>
          <w:szCs w:val="28"/>
          <w:lang w:eastAsia="ru-RU"/>
        </w:rPr>
        <w:t>), - наивысший балл получает организация с наибольшим количеством абонентов, полностью оснащенных ОДПУ, наименьший балл получает организация с наименьшим количеством абонентов, полностью оснащенных ОДПУ. Наибольший балл равен количеству организаций, допущенных к отбору, наименьший балл - единица;</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xml:space="preserve">- проведение текущих работ по установке ОДПУ (К3) (с приложением графиков установки ОДПУ, актов ввода в эксплуатацию) - присваивается балл, равный количеству организаций, допущенных к отбору, отсутствие работы - 0 </w:t>
      </w:r>
      <w:r w:rsidRPr="009A08FB">
        <w:rPr>
          <w:rFonts w:ascii="Times New Roman" w:eastAsia="Times New Roman" w:hAnsi="Times New Roman" w:cs="Times New Roman"/>
          <w:sz w:val="28"/>
          <w:szCs w:val="28"/>
          <w:lang w:eastAsia="ru-RU"/>
        </w:rPr>
        <w:lastRenderedPageBreak/>
        <w:t>баллов;</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xml:space="preserve">- объем внешнего финансирования реализации мероприятий по энергосбережению и повышению энергетической эффективности, в том числе с использованием </w:t>
      </w:r>
      <w:proofErr w:type="spellStart"/>
      <w:r w:rsidRPr="009A08FB">
        <w:rPr>
          <w:rFonts w:ascii="Times New Roman" w:eastAsia="Times New Roman" w:hAnsi="Times New Roman" w:cs="Times New Roman"/>
          <w:sz w:val="28"/>
          <w:szCs w:val="28"/>
          <w:lang w:eastAsia="ru-RU"/>
        </w:rPr>
        <w:t>энергосервисного</w:t>
      </w:r>
      <w:proofErr w:type="spellEnd"/>
      <w:r w:rsidRPr="009A08FB">
        <w:rPr>
          <w:rFonts w:ascii="Times New Roman" w:eastAsia="Times New Roman" w:hAnsi="Times New Roman" w:cs="Times New Roman"/>
          <w:sz w:val="28"/>
          <w:szCs w:val="28"/>
          <w:lang w:eastAsia="ru-RU"/>
        </w:rPr>
        <w:t xml:space="preserve"> контракта, за текущий финансовый год (К</w:t>
      </w:r>
      <w:proofErr w:type="gramStart"/>
      <w:r w:rsidRPr="009A08FB">
        <w:rPr>
          <w:rFonts w:ascii="Times New Roman" w:eastAsia="Times New Roman" w:hAnsi="Times New Roman" w:cs="Times New Roman"/>
          <w:sz w:val="28"/>
          <w:szCs w:val="28"/>
          <w:lang w:eastAsia="ru-RU"/>
        </w:rPr>
        <w:t>4</w:t>
      </w:r>
      <w:proofErr w:type="gramEnd"/>
      <w:r w:rsidRPr="009A08FB">
        <w:rPr>
          <w:rFonts w:ascii="Times New Roman" w:eastAsia="Times New Roman" w:hAnsi="Times New Roman" w:cs="Times New Roman"/>
          <w:sz w:val="28"/>
          <w:szCs w:val="28"/>
          <w:lang w:eastAsia="ru-RU"/>
        </w:rPr>
        <w:t>) - наличие подтверждающих документов, в том числе копий энергосервисных контрактов, - присваивается балл, равный количеству организаций, допущенных к отбору, отсутствие - 0 баллов;</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xml:space="preserve">- количество баллов, присвоенных организации по результатам проведения совокупной оценки эффективности в соответствии с </w:t>
      </w:r>
      <w:hyperlink r:id="rId8" w:history="1">
        <w:r w:rsidRPr="009A08FB">
          <w:rPr>
            <w:rFonts w:ascii="Times New Roman" w:eastAsia="Times New Roman" w:hAnsi="Times New Roman" w:cs="Times New Roman"/>
            <w:sz w:val="28"/>
            <w:szCs w:val="28"/>
            <w:lang w:eastAsia="ru-RU"/>
          </w:rPr>
          <w:t>постановлением</w:t>
        </w:r>
      </w:hyperlink>
      <w:r w:rsidRPr="009A08FB">
        <w:rPr>
          <w:rFonts w:ascii="Times New Roman" w:eastAsia="Times New Roman" w:hAnsi="Times New Roman" w:cs="Times New Roman"/>
          <w:sz w:val="28"/>
          <w:szCs w:val="28"/>
          <w:lang w:eastAsia="ru-RU"/>
        </w:rPr>
        <w:t xml:space="preserve"> № 307-ПП (К5), - соответствует количеству указанных баллов;</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объем софинансирования за счет средств организации по отношению к заявленной потребности на реализацию проекта по расширению функциональности системы автоматизации процессов управления и учета энергопотребления, энергосбережения и энергоэффективности (К</w:t>
      </w:r>
      <w:proofErr w:type="gramStart"/>
      <w:r w:rsidRPr="009A08FB">
        <w:rPr>
          <w:rFonts w:ascii="Times New Roman" w:eastAsia="Times New Roman" w:hAnsi="Times New Roman" w:cs="Times New Roman"/>
          <w:sz w:val="28"/>
          <w:szCs w:val="28"/>
          <w:lang w:eastAsia="ru-RU"/>
        </w:rPr>
        <w:t>6</w:t>
      </w:r>
      <w:proofErr w:type="gramEnd"/>
      <w:r w:rsidRPr="009A08FB">
        <w:rPr>
          <w:rFonts w:ascii="Times New Roman" w:eastAsia="Times New Roman" w:hAnsi="Times New Roman" w:cs="Times New Roman"/>
          <w:sz w:val="28"/>
          <w:szCs w:val="28"/>
          <w:lang w:eastAsia="ru-RU"/>
        </w:rPr>
        <w:t xml:space="preserve">) - наибольший балл, равный количеству организаций, допущенных к отбору, получает организация с наибольшим объемом софинансирования, наименьший балл - организация с наименьшим </w:t>
      </w:r>
      <w:proofErr w:type="spellStart"/>
      <w:r w:rsidRPr="009A08FB">
        <w:rPr>
          <w:rFonts w:ascii="Times New Roman" w:eastAsia="Times New Roman" w:hAnsi="Times New Roman" w:cs="Times New Roman"/>
          <w:sz w:val="28"/>
          <w:szCs w:val="28"/>
          <w:lang w:eastAsia="ru-RU"/>
        </w:rPr>
        <w:t>софинансированием</w:t>
      </w:r>
      <w:proofErr w:type="spellEnd"/>
      <w:r w:rsidRPr="009A08FB">
        <w:rPr>
          <w:rFonts w:ascii="Times New Roman" w:eastAsia="Times New Roman" w:hAnsi="Times New Roman" w:cs="Times New Roman"/>
          <w:sz w:val="28"/>
          <w:szCs w:val="28"/>
          <w:lang w:eastAsia="ru-RU"/>
        </w:rPr>
        <w:t>, отсутствие софинансирования - 0 баллов;</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процент оснащенности ОДПУ (электрическая энергия, тепловая энергия, горячая вода, холодная вода), введенными в эксплуатацию (К</w:t>
      </w:r>
      <w:proofErr w:type="gramStart"/>
      <w:r w:rsidRPr="009A08FB">
        <w:rPr>
          <w:rFonts w:ascii="Times New Roman" w:eastAsia="Times New Roman" w:hAnsi="Times New Roman" w:cs="Times New Roman"/>
          <w:sz w:val="28"/>
          <w:szCs w:val="28"/>
          <w:lang w:eastAsia="ru-RU"/>
        </w:rPr>
        <w:t>7</w:t>
      </w:r>
      <w:proofErr w:type="gramEnd"/>
      <w:r w:rsidRPr="009A08FB">
        <w:rPr>
          <w:rFonts w:ascii="Times New Roman" w:eastAsia="Times New Roman" w:hAnsi="Times New Roman" w:cs="Times New Roman"/>
          <w:sz w:val="28"/>
          <w:szCs w:val="28"/>
          <w:lang w:eastAsia="ru-RU"/>
        </w:rPr>
        <w:t>), - из общего количества допущенных к отбору организаций наивысший балл получает организация с наибольшим процентом оснащенности ОДПУ, наименьший балл получает организация с наименьшим процентом оснащенности ОДПУ. Наибольший балл равен количеству организаций, допущенных к отбору, наименьший балл - единица;</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проведение работ по формированию системы учета энергопотребления, энергосбережения и энергоэффективности (К8). Наличие договора о создании системы - 1 балл, отсутствие - 0 баллов;</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наличие программы энергосбережения (К</w:t>
      </w:r>
      <w:proofErr w:type="gramStart"/>
      <w:r w:rsidRPr="009A08FB">
        <w:rPr>
          <w:rFonts w:ascii="Times New Roman" w:eastAsia="Times New Roman" w:hAnsi="Times New Roman" w:cs="Times New Roman"/>
          <w:sz w:val="28"/>
          <w:szCs w:val="28"/>
          <w:lang w:eastAsia="ru-RU"/>
        </w:rPr>
        <w:t>9</w:t>
      </w:r>
      <w:proofErr w:type="gramEnd"/>
      <w:r w:rsidRPr="009A08FB">
        <w:rPr>
          <w:rFonts w:ascii="Times New Roman" w:eastAsia="Times New Roman" w:hAnsi="Times New Roman" w:cs="Times New Roman"/>
          <w:sz w:val="28"/>
          <w:szCs w:val="28"/>
          <w:lang w:eastAsia="ru-RU"/>
        </w:rPr>
        <w:t>). Наличие программы энергосбережения - 1 балл, отсутствие - 0 баллов;</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наличие энергетического паспорта (К10). Наличие энергетического паспорта - 1 балл, отсутствие - 0 баллов.</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Общая сумма баллов каждого проекта (Б) считается по формуле:</w:t>
      </w:r>
    </w:p>
    <w:p w:rsidR="009A08FB" w:rsidRPr="009A08FB" w:rsidRDefault="009A08FB" w:rsidP="009A08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Б = К</w:t>
      </w:r>
      <w:proofErr w:type="gramStart"/>
      <w:r w:rsidRPr="009A08FB">
        <w:rPr>
          <w:rFonts w:ascii="Times New Roman" w:eastAsia="Times New Roman" w:hAnsi="Times New Roman" w:cs="Times New Roman"/>
          <w:sz w:val="28"/>
          <w:szCs w:val="28"/>
          <w:lang w:eastAsia="ru-RU"/>
        </w:rPr>
        <w:t>1</w:t>
      </w:r>
      <w:proofErr w:type="gramEnd"/>
      <w:r w:rsidRPr="009A08FB">
        <w:rPr>
          <w:rFonts w:ascii="Times New Roman" w:eastAsia="Times New Roman" w:hAnsi="Times New Roman" w:cs="Times New Roman"/>
          <w:sz w:val="28"/>
          <w:szCs w:val="28"/>
          <w:lang w:eastAsia="ru-RU"/>
        </w:rPr>
        <w:t xml:space="preserve"> + К2 + К3 + К4 + К5 + К6 + К7 + К8 + К9 + К10.</w:t>
      </w:r>
    </w:p>
    <w:p w:rsidR="009A08FB" w:rsidRPr="009A08FB" w:rsidRDefault="009A08FB" w:rsidP="009A08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Организации ранжируются в соответствии с полученными баллами. Первое место занимает организация, получившая наибольшее количество баллов, последнее место - организация, набравшая наименьшее количество баллов.</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Субсидии предоставляются двум организациям, набравшим наибольшее количество баллов.</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5. Размер субсидии организации определяется в соответствии с размером средств, указанным в предоставленной в Министерство заявке на получение субсидии.</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lastRenderedPageBreak/>
        <w:t xml:space="preserve">В случае если общий объем указанных в заявках организаций средств превышает объем нераспределенных средств, предусмотренных в областном бюджете на финансовое обеспечение мероприятий по наполнению и расширению </w:t>
      </w:r>
      <w:proofErr w:type="gramStart"/>
      <w:r w:rsidRPr="009A08FB">
        <w:rPr>
          <w:rFonts w:ascii="Times New Roman" w:eastAsia="Times New Roman" w:hAnsi="Times New Roman" w:cs="Times New Roman"/>
          <w:sz w:val="28"/>
          <w:szCs w:val="28"/>
          <w:lang w:eastAsia="ru-RU"/>
        </w:rPr>
        <w:t>функциональности региональной системы автоматизации процессов управления</w:t>
      </w:r>
      <w:proofErr w:type="gramEnd"/>
      <w:r w:rsidRPr="009A08FB">
        <w:rPr>
          <w:rFonts w:ascii="Times New Roman" w:eastAsia="Times New Roman" w:hAnsi="Times New Roman" w:cs="Times New Roman"/>
          <w:sz w:val="28"/>
          <w:szCs w:val="28"/>
          <w:lang w:eastAsia="ru-RU"/>
        </w:rPr>
        <w:t xml:space="preserve"> и учета энергопотребления, энергосбережения и энергоэффективности, размер субсидии для каждой организации определяется по следующей формуле:</w:t>
      </w:r>
    </w:p>
    <w:p w:rsidR="009A08FB" w:rsidRPr="009A08FB" w:rsidRDefault="009A08FB" w:rsidP="009A08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spellStart"/>
      <w:r w:rsidRPr="009A08FB">
        <w:rPr>
          <w:rFonts w:ascii="Times New Roman" w:eastAsia="Times New Roman" w:hAnsi="Times New Roman" w:cs="Times New Roman"/>
          <w:sz w:val="28"/>
          <w:szCs w:val="28"/>
          <w:lang w:eastAsia="ru-RU"/>
        </w:rPr>
        <w:t>С</w:t>
      </w:r>
      <w:proofErr w:type="gramStart"/>
      <w:r w:rsidRPr="009A08FB">
        <w:rPr>
          <w:rFonts w:ascii="Times New Roman" w:eastAsia="Times New Roman" w:hAnsi="Times New Roman" w:cs="Times New Roman"/>
          <w:sz w:val="28"/>
          <w:szCs w:val="28"/>
          <w:lang w:eastAsia="ru-RU"/>
        </w:rPr>
        <w:t>i</w:t>
      </w:r>
      <w:proofErr w:type="spellEnd"/>
      <w:proofErr w:type="gramEnd"/>
      <w:r w:rsidRPr="009A08FB">
        <w:rPr>
          <w:rFonts w:ascii="Times New Roman" w:eastAsia="Times New Roman" w:hAnsi="Times New Roman" w:cs="Times New Roman"/>
          <w:sz w:val="28"/>
          <w:szCs w:val="28"/>
          <w:lang w:eastAsia="ru-RU"/>
        </w:rPr>
        <w:t xml:space="preserve"> = k x </w:t>
      </w:r>
      <w:proofErr w:type="spellStart"/>
      <w:r w:rsidRPr="009A08FB">
        <w:rPr>
          <w:rFonts w:ascii="Times New Roman" w:eastAsia="Times New Roman" w:hAnsi="Times New Roman" w:cs="Times New Roman"/>
          <w:sz w:val="28"/>
          <w:szCs w:val="28"/>
          <w:lang w:eastAsia="ru-RU"/>
        </w:rPr>
        <w:t>Зi</w:t>
      </w:r>
      <w:proofErr w:type="spellEnd"/>
      <w:r w:rsidRPr="009A08FB">
        <w:rPr>
          <w:rFonts w:ascii="Times New Roman" w:eastAsia="Times New Roman" w:hAnsi="Times New Roman" w:cs="Times New Roman"/>
          <w:sz w:val="28"/>
          <w:szCs w:val="28"/>
          <w:lang w:eastAsia="ru-RU"/>
        </w:rPr>
        <w:t>, где:</w:t>
      </w:r>
    </w:p>
    <w:p w:rsidR="009A08FB" w:rsidRPr="009A08FB" w:rsidRDefault="009A08FB" w:rsidP="009A08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spellStart"/>
      <w:r w:rsidRPr="009A08FB">
        <w:rPr>
          <w:rFonts w:ascii="Times New Roman" w:eastAsia="Times New Roman" w:hAnsi="Times New Roman" w:cs="Times New Roman"/>
          <w:sz w:val="28"/>
          <w:szCs w:val="28"/>
          <w:lang w:eastAsia="ru-RU"/>
        </w:rPr>
        <w:t>С</w:t>
      </w:r>
      <w:proofErr w:type="gramStart"/>
      <w:r w:rsidRPr="009A08FB">
        <w:rPr>
          <w:rFonts w:ascii="Times New Roman" w:eastAsia="Times New Roman" w:hAnsi="Times New Roman" w:cs="Times New Roman"/>
          <w:sz w:val="28"/>
          <w:szCs w:val="28"/>
          <w:lang w:eastAsia="ru-RU"/>
        </w:rPr>
        <w:t>i</w:t>
      </w:r>
      <w:proofErr w:type="spellEnd"/>
      <w:proofErr w:type="gramEnd"/>
      <w:r w:rsidRPr="009A08FB">
        <w:rPr>
          <w:rFonts w:ascii="Times New Roman" w:eastAsia="Times New Roman" w:hAnsi="Times New Roman" w:cs="Times New Roman"/>
          <w:sz w:val="28"/>
          <w:szCs w:val="28"/>
          <w:lang w:eastAsia="ru-RU"/>
        </w:rPr>
        <w:t xml:space="preserve"> - объем субсидии i-й организации;</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spellStart"/>
      <w:r w:rsidRPr="009A08FB">
        <w:rPr>
          <w:rFonts w:ascii="Times New Roman" w:eastAsia="Times New Roman" w:hAnsi="Times New Roman" w:cs="Times New Roman"/>
          <w:sz w:val="28"/>
          <w:szCs w:val="28"/>
          <w:lang w:eastAsia="ru-RU"/>
        </w:rPr>
        <w:t>З</w:t>
      </w:r>
      <w:proofErr w:type="gramStart"/>
      <w:r w:rsidRPr="009A08FB">
        <w:rPr>
          <w:rFonts w:ascii="Times New Roman" w:eastAsia="Times New Roman" w:hAnsi="Times New Roman" w:cs="Times New Roman"/>
          <w:sz w:val="28"/>
          <w:szCs w:val="28"/>
          <w:lang w:eastAsia="ru-RU"/>
        </w:rPr>
        <w:t>i</w:t>
      </w:r>
      <w:proofErr w:type="spellEnd"/>
      <w:proofErr w:type="gramEnd"/>
      <w:r w:rsidRPr="009A08FB">
        <w:rPr>
          <w:rFonts w:ascii="Times New Roman" w:eastAsia="Times New Roman" w:hAnsi="Times New Roman" w:cs="Times New Roman"/>
          <w:sz w:val="28"/>
          <w:szCs w:val="28"/>
          <w:lang w:eastAsia="ru-RU"/>
        </w:rPr>
        <w:t xml:space="preserve"> - объем заявки i-й организации на получение субсидии из областного бюджета;</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k - коэффициент, рассчитанный по формуле:</w:t>
      </w:r>
    </w:p>
    <w:p w:rsidR="009A08FB" w:rsidRPr="009A08FB" w:rsidRDefault="009A08FB" w:rsidP="009A08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noProof/>
          <w:sz w:val="28"/>
          <w:szCs w:val="28"/>
          <w:lang w:eastAsia="ru-RU"/>
        </w:rPr>
        <w:drawing>
          <wp:inline distT="0" distB="0" distL="0" distR="0" wp14:anchorId="57BDE901" wp14:editId="2BA0BDA1">
            <wp:extent cx="1407795" cy="247015"/>
            <wp:effectExtent l="0" t="0" r="1905" b="635"/>
            <wp:docPr id="12" name="Рисунок 12" descr="base_23639_59364_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39_59364_12"/>
                    <pic:cNvPicPr preferRelativeResize="0">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07795" cy="247015"/>
                    </a:xfrm>
                    <a:prstGeom prst="rect">
                      <a:avLst/>
                    </a:prstGeom>
                    <a:solidFill>
                      <a:srgbClr val="FFFFFF"/>
                    </a:solidFill>
                    <a:ln>
                      <a:noFill/>
                    </a:ln>
                  </pic:spPr>
                </pic:pic>
              </a:graphicData>
            </a:graphic>
          </wp:inline>
        </w:drawing>
      </w:r>
    </w:p>
    <w:p w:rsidR="009A08FB" w:rsidRPr="009A08FB" w:rsidRDefault="009A08FB" w:rsidP="009A08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С - общий объем средств, предусмотренных на выделение субсидий;</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noProof/>
          <w:position w:val="-8"/>
          <w:sz w:val="28"/>
          <w:szCs w:val="28"/>
          <w:lang w:eastAsia="ru-RU"/>
        </w:rPr>
        <w:drawing>
          <wp:inline distT="0" distB="0" distL="0" distR="0" wp14:anchorId="7530FC9F" wp14:editId="7358455D">
            <wp:extent cx="173990" cy="247015"/>
            <wp:effectExtent l="0" t="0" r="0" b="635"/>
            <wp:docPr id="11" name="Рисунок 11" descr="base_23639_59364_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639_59364_13"/>
                    <pic:cNvPicPr preferRelativeResize="0">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990" cy="247015"/>
                    </a:xfrm>
                    <a:prstGeom prst="rect">
                      <a:avLst/>
                    </a:prstGeom>
                    <a:solidFill>
                      <a:srgbClr val="FFFFFF"/>
                    </a:solidFill>
                    <a:ln>
                      <a:noFill/>
                    </a:ln>
                  </pic:spPr>
                </pic:pic>
              </a:graphicData>
            </a:graphic>
          </wp:inline>
        </w:drawing>
      </w:r>
      <w:r w:rsidRPr="009A08FB">
        <w:rPr>
          <w:rFonts w:ascii="Times New Roman" w:eastAsia="Times New Roman" w:hAnsi="Times New Roman" w:cs="Times New Roman"/>
          <w:sz w:val="28"/>
          <w:szCs w:val="28"/>
          <w:lang w:eastAsia="ru-RU"/>
        </w:rPr>
        <w:t xml:space="preserve"> и </w:t>
      </w:r>
      <w:r w:rsidRPr="009A08FB">
        <w:rPr>
          <w:rFonts w:ascii="Times New Roman" w:eastAsia="Times New Roman" w:hAnsi="Times New Roman" w:cs="Times New Roman"/>
          <w:noProof/>
          <w:position w:val="-8"/>
          <w:sz w:val="28"/>
          <w:szCs w:val="28"/>
          <w:lang w:eastAsia="ru-RU"/>
        </w:rPr>
        <w:drawing>
          <wp:inline distT="0" distB="0" distL="0" distR="0" wp14:anchorId="3BA4BB50" wp14:editId="39B2CA40">
            <wp:extent cx="201930" cy="247015"/>
            <wp:effectExtent l="0" t="0" r="7620" b="635"/>
            <wp:docPr id="10" name="Рисунок 10" descr="base_23639_59364_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639_59364_14"/>
                    <pic:cNvPicPr preferRelativeResize="0">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930" cy="247015"/>
                    </a:xfrm>
                    <a:prstGeom prst="rect">
                      <a:avLst/>
                    </a:prstGeom>
                    <a:solidFill>
                      <a:srgbClr val="FFFFFF"/>
                    </a:solidFill>
                    <a:ln>
                      <a:noFill/>
                    </a:ln>
                  </pic:spPr>
                </pic:pic>
              </a:graphicData>
            </a:graphic>
          </wp:inline>
        </w:drawing>
      </w:r>
      <w:r w:rsidRPr="009A08FB">
        <w:rPr>
          <w:rFonts w:ascii="Times New Roman" w:eastAsia="Times New Roman" w:hAnsi="Times New Roman" w:cs="Times New Roman"/>
          <w:sz w:val="28"/>
          <w:szCs w:val="28"/>
          <w:lang w:eastAsia="ru-RU"/>
        </w:rPr>
        <w:t xml:space="preserve"> - объемы заявок двух организаций, набравших наибольшее количество баллов.</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6. Субсидия предоставляется Министерством в соответствии с бюджетной росписью и кассовым планом главного распорядителя средств областного бюджета Мурманской области в пределах лимитов бюджетных обязательств на основании соглашения о предоставлении субсидии (далее - соглашение) по форме, утверждаемой Министерством.</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7. В соглашении в обязательном порядке содержатся:</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предмет соглашения, которым определяется целевое использование предоставляемой субсидии;</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обязательства сторон, в которых перечисляются условия и сроки предоставления субсидии, предельный размер субсидии;</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обязательства организации по целевому использованию субсидии, а также по выполнению условий, установленных при ее предоставлении;</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порядок возврата субсидии в случае нарушения условий, установленных при ее предоставлении;</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порядок, сроки и формы предоставления организацией отчетности о результатах выполнения условий, предусмотренных соглашением;</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согласие организации на осуществление проверок Министерством и органами государственного финансового контроля соблюдения получателем субсидии условий, целей и порядка их предоставления;</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ответственность за несоблюдение сторонами условий соглашения.</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8. Перечисление субсидии осуществляется Министерством на расчетный счет организации, открытый ей в кредитной организации.</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 w:name="P7013"/>
      <w:bookmarkEnd w:id="1"/>
      <w:r w:rsidRPr="009A08FB">
        <w:rPr>
          <w:rFonts w:ascii="Times New Roman" w:eastAsia="Times New Roman" w:hAnsi="Times New Roman" w:cs="Times New Roman"/>
          <w:sz w:val="28"/>
          <w:szCs w:val="28"/>
          <w:lang w:eastAsia="ru-RU"/>
        </w:rPr>
        <w:t xml:space="preserve">9. </w:t>
      </w:r>
      <w:proofErr w:type="gramStart"/>
      <w:r w:rsidRPr="009A08FB">
        <w:rPr>
          <w:rFonts w:ascii="Times New Roman" w:eastAsia="Times New Roman" w:hAnsi="Times New Roman" w:cs="Times New Roman"/>
          <w:sz w:val="28"/>
          <w:szCs w:val="28"/>
          <w:lang w:eastAsia="ru-RU"/>
        </w:rPr>
        <w:t>Контроль за</w:t>
      </w:r>
      <w:proofErr w:type="gramEnd"/>
      <w:r w:rsidRPr="009A08FB">
        <w:rPr>
          <w:rFonts w:ascii="Times New Roman" w:eastAsia="Times New Roman" w:hAnsi="Times New Roman" w:cs="Times New Roman"/>
          <w:sz w:val="28"/>
          <w:szCs w:val="28"/>
          <w:lang w:eastAsia="ru-RU"/>
        </w:rPr>
        <w:t xml:space="preserve"> соблюдением условий, целей и порядка предоставления субсидий организациям осуществляется Министерством, Контрольно-счетной палатой Мурманской области и Комитетом государственного и финансового </w:t>
      </w:r>
      <w:r w:rsidRPr="009A08FB">
        <w:rPr>
          <w:rFonts w:ascii="Times New Roman" w:eastAsia="Times New Roman" w:hAnsi="Times New Roman" w:cs="Times New Roman"/>
          <w:sz w:val="28"/>
          <w:szCs w:val="28"/>
          <w:lang w:eastAsia="ru-RU"/>
        </w:rPr>
        <w:lastRenderedPageBreak/>
        <w:t>контроля Мурманской области.</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В случаях выявления Министерством нарушения условий предоставления субсидии, установленных настоящими Правилами, Министерство в течение 10 рабочих дней после выявления обстоятельств нарушения направляет организации-нарушителю письмо с предложением о возврате незаконно полученных средств областного бюджета с указанием нарушений, сумм и сроков возврата.</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Возврат субсидии осуществляется организацией на лицевой счет Министерства, открытый для кассового обслуживания в территориальном органе Федерального казначейства:</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в случае нецелевого использования средств - в размере нецелевого использования;</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в случае нарушений организацией условий соглашения о предоставлении субсидии - в суммах, определенных соглашением.</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10. В случае наличия остатков субсидии, не использованных в отчетном финансовом году, организация вправе представить ходатайство с обоснованием потребности использования остатка субсидии в следующем финансовом году. Министерство принимает решение о подтверждении остатков субсидии или необходимости возврата субсидии на основании следующих критериев:</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соблюдение условий соглашения, в том числе порядка предоставления отчетности;</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 наличие принятых обязательств, направленных на выполнение соглашения.</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В случае принятия решения о необходимости возврата остатков субсидии Министерство направляет организации уведомление.</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Организация в течение 15 рабочих дней с момента получения уведомления о необходимости возврата средств обеспечивает перечисление неиспользованных средств на лицевой счет Министерства.</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11. При отказе организации от возврата сре</w:t>
      </w:r>
      <w:proofErr w:type="gramStart"/>
      <w:r w:rsidRPr="009A08FB">
        <w:rPr>
          <w:rFonts w:ascii="Times New Roman" w:eastAsia="Times New Roman" w:hAnsi="Times New Roman" w:cs="Times New Roman"/>
          <w:sz w:val="28"/>
          <w:szCs w:val="28"/>
          <w:lang w:eastAsia="ru-RU"/>
        </w:rPr>
        <w:t>дств в сл</w:t>
      </w:r>
      <w:proofErr w:type="gramEnd"/>
      <w:r w:rsidRPr="009A08FB">
        <w:rPr>
          <w:rFonts w:ascii="Times New Roman" w:eastAsia="Times New Roman" w:hAnsi="Times New Roman" w:cs="Times New Roman"/>
          <w:sz w:val="28"/>
          <w:szCs w:val="28"/>
          <w:lang w:eastAsia="ru-RU"/>
        </w:rPr>
        <w:t xml:space="preserve">учаях, установленных </w:t>
      </w:r>
      <w:hyperlink w:anchor="P7013" w:history="1">
        <w:r w:rsidRPr="009A08FB">
          <w:rPr>
            <w:rFonts w:ascii="Times New Roman" w:eastAsia="Times New Roman" w:hAnsi="Times New Roman" w:cs="Times New Roman"/>
            <w:sz w:val="28"/>
            <w:szCs w:val="28"/>
            <w:lang w:eastAsia="ru-RU"/>
          </w:rPr>
          <w:t>пунктом 9</w:t>
        </w:r>
      </w:hyperlink>
      <w:r w:rsidRPr="009A08FB">
        <w:rPr>
          <w:rFonts w:ascii="Times New Roman" w:eastAsia="Times New Roman" w:hAnsi="Times New Roman" w:cs="Times New Roman"/>
          <w:sz w:val="28"/>
          <w:szCs w:val="28"/>
          <w:lang w:eastAsia="ru-RU"/>
        </w:rPr>
        <w:t xml:space="preserve"> настоящих Правил, их взыскание осуществляется в судебном порядке.</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12. Ответственность за достоверность и полноту представленных в Министерство данных (сведения, показатели) несет организация в соответствии с действующим законодательством.</w:t>
      </w:r>
    </w:p>
    <w:p w:rsidR="009A08FB" w:rsidRPr="009A08FB" w:rsidRDefault="009A08FB" w:rsidP="009A08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A08FB">
        <w:rPr>
          <w:rFonts w:ascii="Times New Roman" w:eastAsia="Times New Roman" w:hAnsi="Times New Roman" w:cs="Times New Roman"/>
          <w:sz w:val="28"/>
          <w:szCs w:val="28"/>
          <w:lang w:eastAsia="ru-RU"/>
        </w:rPr>
        <w:t>13. Министерство и органы государственного финансового контроля Мурманской области осуществляют обязательные проверки соблюдения условий, целей и порядка предоставления субсидий их получателями в соответствии с законодательством Российской Федерации и законодательством Мурманской области.</w:t>
      </w:r>
    </w:p>
    <w:p w:rsidR="009A08FB" w:rsidRPr="009A08FB" w:rsidRDefault="009A08FB" w:rsidP="009A08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A08FB" w:rsidRPr="009A08FB" w:rsidRDefault="009A08FB" w:rsidP="009A08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F0EA7" w:rsidRPr="009A08FB" w:rsidRDefault="006F0EA7"/>
    <w:sectPr w:rsidR="006F0EA7" w:rsidRPr="009A08FB" w:rsidSect="00AF068E">
      <w:headerReference w:type="default" r:id="rId12"/>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4A2" w:rsidRDefault="008044A2" w:rsidP="009A08FB">
      <w:pPr>
        <w:spacing w:after="0" w:line="240" w:lineRule="auto"/>
      </w:pPr>
      <w:r>
        <w:separator/>
      </w:r>
    </w:p>
  </w:endnote>
  <w:endnote w:type="continuationSeparator" w:id="0">
    <w:p w:rsidR="008044A2" w:rsidRDefault="008044A2" w:rsidP="009A0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4A2" w:rsidRDefault="008044A2" w:rsidP="009A08FB">
      <w:pPr>
        <w:spacing w:after="0" w:line="240" w:lineRule="auto"/>
      </w:pPr>
      <w:r>
        <w:separator/>
      </w:r>
    </w:p>
  </w:footnote>
  <w:footnote w:type="continuationSeparator" w:id="0">
    <w:p w:rsidR="008044A2" w:rsidRDefault="008044A2" w:rsidP="009A08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2260629"/>
      <w:docPartObj>
        <w:docPartGallery w:val="Page Numbers (Top of Page)"/>
        <w:docPartUnique/>
      </w:docPartObj>
    </w:sdtPr>
    <w:sdtEndPr/>
    <w:sdtContent>
      <w:p w:rsidR="009A08FB" w:rsidRDefault="009A08FB">
        <w:pPr>
          <w:pStyle w:val="a5"/>
          <w:jc w:val="center"/>
        </w:pPr>
        <w:r>
          <w:fldChar w:fldCharType="begin"/>
        </w:r>
        <w:r>
          <w:instrText>PAGE   \* MERGEFORMAT</w:instrText>
        </w:r>
        <w:r>
          <w:fldChar w:fldCharType="separate"/>
        </w:r>
        <w:r w:rsidR="00AF068E">
          <w:rPr>
            <w:noProof/>
          </w:rPr>
          <w:t>5</w:t>
        </w:r>
        <w:r>
          <w:fldChar w:fldCharType="end"/>
        </w:r>
      </w:p>
    </w:sdtContent>
  </w:sdt>
  <w:p w:rsidR="009A08FB" w:rsidRDefault="009A08F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8FB"/>
    <w:rsid w:val="000110B3"/>
    <w:rsid w:val="000368D5"/>
    <w:rsid w:val="00097E07"/>
    <w:rsid w:val="000A59BA"/>
    <w:rsid w:val="000B5F5B"/>
    <w:rsid w:val="000E55FE"/>
    <w:rsid w:val="00121E37"/>
    <w:rsid w:val="001358C5"/>
    <w:rsid w:val="00180831"/>
    <w:rsid w:val="001959D1"/>
    <w:rsid w:val="001A4E70"/>
    <w:rsid w:val="001C403E"/>
    <w:rsid w:val="001D07E9"/>
    <w:rsid w:val="00235853"/>
    <w:rsid w:val="002474A3"/>
    <w:rsid w:val="002750F6"/>
    <w:rsid w:val="002B3EE1"/>
    <w:rsid w:val="002B6AFE"/>
    <w:rsid w:val="00314BF2"/>
    <w:rsid w:val="00342B71"/>
    <w:rsid w:val="00381C5A"/>
    <w:rsid w:val="003F6157"/>
    <w:rsid w:val="003F74AB"/>
    <w:rsid w:val="00420B4F"/>
    <w:rsid w:val="0042736F"/>
    <w:rsid w:val="00443D73"/>
    <w:rsid w:val="00445EE7"/>
    <w:rsid w:val="00457C68"/>
    <w:rsid w:val="0049318A"/>
    <w:rsid w:val="004A5A2B"/>
    <w:rsid w:val="004B730D"/>
    <w:rsid w:val="004C3E32"/>
    <w:rsid w:val="004D1450"/>
    <w:rsid w:val="004F71DD"/>
    <w:rsid w:val="0056393A"/>
    <w:rsid w:val="005B7816"/>
    <w:rsid w:val="005C25AF"/>
    <w:rsid w:val="005D686B"/>
    <w:rsid w:val="005E617A"/>
    <w:rsid w:val="005F320C"/>
    <w:rsid w:val="005F4738"/>
    <w:rsid w:val="00656C1E"/>
    <w:rsid w:val="0068346E"/>
    <w:rsid w:val="006C7E8F"/>
    <w:rsid w:val="006E0DBB"/>
    <w:rsid w:val="006E72D2"/>
    <w:rsid w:val="006F0EA7"/>
    <w:rsid w:val="00774F29"/>
    <w:rsid w:val="007855BB"/>
    <w:rsid w:val="007A4EAF"/>
    <w:rsid w:val="008044A2"/>
    <w:rsid w:val="0082232C"/>
    <w:rsid w:val="00823023"/>
    <w:rsid w:val="00861C57"/>
    <w:rsid w:val="00863D70"/>
    <w:rsid w:val="008836B8"/>
    <w:rsid w:val="008A20E3"/>
    <w:rsid w:val="008F4400"/>
    <w:rsid w:val="00906332"/>
    <w:rsid w:val="00916A79"/>
    <w:rsid w:val="00934570"/>
    <w:rsid w:val="00940C53"/>
    <w:rsid w:val="0094136B"/>
    <w:rsid w:val="00942A0F"/>
    <w:rsid w:val="009A08FB"/>
    <w:rsid w:val="009A626E"/>
    <w:rsid w:val="00A03BF2"/>
    <w:rsid w:val="00A20BAD"/>
    <w:rsid w:val="00A44C03"/>
    <w:rsid w:val="00A92B91"/>
    <w:rsid w:val="00A94B61"/>
    <w:rsid w:val="00AB153E"/>
    <w:rsid w:val="00AD105B"/>
    <w:rsid w:val="00AF068E"/>
    <w:rsid w:val="00B653CA"/>
    <w:rsid w:val="00B87291"/>
    <w:rsid w:val="00BC6732"/>
    <w:rsid w:val="00BE015A"/>
    <w:rsid w:val="00BE66F6"/>
    <w:rsid w:val="00C14A5D"/>
    <w:rsid w:val="00C23C95"/>
    <w:rsid w:val="00C35EDA"/>
    <w:rsid w:val="00CC56D7"/>
    <w:rsid w:val="00D00939"/>
    <w:rsid w:val="00D14EA8"/>
    <w:rsid w:val="00D760B4"/>
    <w:rsid w:val="00DE0B94"/>
    <w:rsid w:val="00DE2DCA"/>
    <w:rsid w:val="00DE3727"/>
    <w:rsid w:val="00DF3CF4"/>
    <w:rsid w:val="00E92422"/>
    <w:rsid w:val="00EF27FB"/>
    <w:rsid w:val="00F06A0D"/>
    <w:rsid w:val="00F433BC"/>
    <w:rsid w:val="00F47485"/>
    <w:rsid w:val="00F97529"/>
    <w:rsid w:val="00FD5326"/>
    <w:rsid w:val="00FF6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8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A08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A08FB"/>
    <w:rPr>
      <w:rFonts w:ascii="Tahoma" w:hAnsi="Tahoma" w:cs="Tahoma"/>
      <w:sz w:val="16"/>
      <w:szCs w:val="16"/>
    </w:rPr>
  </w:style>
  <w:style w:type="paragraph" w:styleId="a5">
    <w:name w:val="header"/>
    <w:basedOn w:val="a"/>
    <w:link w:val="a6"/>
    <w:uiPriority w:val="99"/>
    <w:unhideWhenUsed/>
    <w:rsid w:val="009A08F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A08FB"/>
  </w:style>
  <w:style w:type="paragraph" w:styleId="a7">
    <w:name w:val="footer"/>
    <w:basedOn w:val="a"/>
    <w:link w:val="a8"/>
    <w:uiPriority w:val="99"/>
    <w:unhideWhenUsed/>
    <w:rsid w:val="009A08F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A08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8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A08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A08FB"/>
    <w:rPr>
      <w:rFonts w:ascii="Tahoma" w:hAnsi="Tahoma" w:cs="Tahoma"/>
      <w:sz w:val="16"/>
      <w:szCs w:val="16"/>
    </w:rPr>
  </w:style>
  <w:style w:type="paragraph" w:styleId="a5">
    <w:name w:val="header"/>
    <w:basedOn w:val="a"/>
    <w:link w:val="a6"/>
    <w:uiPriority w:val="99"/>
    <w:unhideWhenUsed/>
    <w:rsid w:val="009A08F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A08FB"/>
  </w:style>
  <w:style w:type="paragraph" w:styleId="a7">
    <w:name w:val="footer"/>
    <w:basedOn w:val="a"/>
    <w:link w:val="a8"/>
    <w:uiPriority w:val="99"/>
    <w:unhideWhenUsed/>
    <w:rsid w:val="009A08F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A0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706713F6B81C800C900E86E59548857AA467D6E19CD3EFA068DB5DDA53C379ICh5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8706713F6B81C800C900E86E59548857AA467D6E19CD3EFA068DB5DDA53C379ICh5G"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1839</Words>
  <Characters>10485</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ГБУ АЕЕМО</Company>
  <LinksUpToDate>false</LinksUpToDate>
  <CharactersWithSpaces>12300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Usr-01</dc:creator>
  <cp:lastModifiedBy>Ивкин</cp:lastModifiedBy>
  <cp:revision>3</cp:revision>
  <dcterms:created xsi:type="dcterms:W3CDTF">2015-09-14T16:11:00Z</dcterms:created>
  <dcterms:modified xsi:type="dcterms:W3CDTF">2015-09-14T16:12:00Z</dcterms:modified>
</cp:coreProperties>
</file>